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PEMASANGAN HOLLOW CORE SLAB</w:t>
      </w:r>
    </w:p>
    <w:p>
      <w:pPr>
        <w:spacing w:after="480"/>
      </w:pPr>
      <w:r>
        <w:rPr>
          <w:rFonts w:ascii="Aptos" w:hAnsi="Aptos"/>
          <w:b w:val="0"/>
          <w:color w:val="5E6B78"/>
          <w:sz w:val="26"/>
        </w:rPr>
        <w:t>Hollow Core Slab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MS-IBS-002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pemasangan hollow core slab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pemasangan hollow core slab.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Unit hollow core</w:t>
      </w:r>
    </w:p>
    <w:p>
      <w:pPr>
        <w:pStyle w:val="ListBullet"/>
        <w:spacing w:after="50"/>
        <w:ind w:left="369" w:hanging="170"/>
      </w:pPr>
      <w:r>
        <w:rPr>
          <w:rFonts w:ascii="Aptos" w:hAnsi="Aptos"/>
          <w:b w:val="0"/>
          <w:color w:val="263442"/>
          <w:sz w:val="19"/>
        </w:rPr>
        <w:t>Bearing pad</w:t>
      </w:r>
    </w:p>
    <w:p>
      <w:pPr>
        <w:pStyle w:val="ListBullet"/>
        <w:spacing w:after="50"/>
        <w:ind w:left="369" w:hanging="170"/>
      </w:pPr>
      <w:r>
        <w:rPr>
          <w:rFonts w:ascii="Aptos" w:hAnsi="Aptos"/>
          <w:b w:val="0"/>
          <w:color w:val="263442"/>
          <w:sz w:val="19"/>
        </w:rPr>
        <w:t>Temporary prop jika ditetapkan dalam reka bentuk</w:t>
      </w:r>
    </w:p>
    <w:p>
      <w:pPr>
        <w:pStyle w:val="ListBullet"/>
        <w:spacing w:after="50"/>
        <w:ind w:left="369" w:hanging="170"/>
      </w:pPr>
      <w:r>
        <w:rPr>
          <w:rFonts w:ascii="Aptos" w:hAnsi="Aptos"/>
          <w:b w:val="0"/>
          <w:color w:val="263442"/>
          <w:sz w:val="19"/>
        </w:rPr>
        <w:t>Bahan grout dan topping</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Kren</w:t>
      </w:r>
    </w:p>
    <w:p>
      <w:pPr>
        <w:pStyle w:val="ListBullet"/>
        <w:spacing w:after="50"/>
        <w:ind w:left="369" w:hanging="170"/>
      </w:pPr>
      <w:r>
        <w:rPr>
          <w:rFonts w:ascii="Aptos" w:hAnsi="Aptos"/>
          <w:b w:val="0"/>
          <w:color w:val="263442"/>
          <w:sz w:val="19"/>
        </w:rPr>
        <w:t>Clamp atau lifting beam bersijil</w:t>
      </w:r>
    </w:p>
    <w:p>
      <w:pPr>
        <w:pStyle w:val="ListBullet"/>
        <w:spacing w:after="50"/>
        <w:ind w:left="369" w:hanging="170"/>
      </w:pPr>
      <w:r>
        <w:rPr>
          <w:rFonts w:ascii="Aptos" w:hAnsi="Aptos"/>
          <w:b w:val="0"/>
          <w:color w:val="263442"/>
          <w:sz w:val="19"/>
        </w:rPr>
        <w:t>MEWP</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struktur diluluskan terkini, lukisan erection hollow core, jadual unit, lifting plan, reka bentuk temporary works, penyerahan bahan dan permit tersedia di kawasan kerja. Struktur sokongan, akses kren, laluan penghantaran, lokasi bearing, aras, bukaan dan interface hendaklah diperiksa bersama serta dilepaskan sebelum erection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Sahkan Erection Supervisor, Crane Operator, Lifting Supervisor, Rigger, Signaller, landing team, Juruukur serta kru grout atau topping yang diperlukan bagi bay dirancang. Sahkan kompetensi, kaedah komunikasi, lifting accessories yang telah diperiksa, susunan perlindungan jatuh, kemudahan menyelamat dan had cuaca harian. Beri taklimat kepada pasukan mengenai urutan erection, tanggungjawab individu, zon larangan dan keadaan yang memerlukan kerja dihentikan.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Periksa setiap unit hollow core, bearing pad, item reinforcement, grout dan bahan topping berdasarkan penyerahan diluluskan, rekod penghantaran serta jadual erection. Kekalkan kebolehkesanan kepada tanda unit dan lokasi pemasangan. Simpan unit di atas sokongan kukuh dan rata pada kedudukan yang ditetapkan pengilang dengan ketinggian susunan serta jajaran dunnage dikawal bagi mencegah unit berpintal, retak atau strand rosak.</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erection mengikut urutan berikut. Lukisan erection, lifting plan, reka bentuk temporary works dan arahan pengilang yang diluluskan hendaklah diguna pakai apabila keperluannya lebih khusus.</w:t>
      </w:r>
    </w:p>
    <w:p>
      <w:pPr>
        <w:pStyle w:val="ListNumber"/>
        <w:keepLines/>
        <w:tabs>
          <w:tab w:pos="567" w:val="left"/>
        </w:tabs>
        <w:spacing w:after="100" w:line="269" w:lineRule="auto"/>
        <w:ind w:left="567" w:hanging="397"/>
      </w:pPr>
      <w:r>
        <w:rPr>
          <w:rFonts w:ascii="Aptos" w:hAnsi="Aptos"/>
          <w:b/>
          <w:color w:val="071E33"/>
          <w:sz w:val="19"/>
        </w:rPr>
        <w:t xml:space="preserve">Setting-out dan persediaan bearing. </w:t>
      </w:r>
      <w:r>
        <w:rPr>
          <w:rFonts w:ascii="Aptos" w:hAnsi="Aptos"/>
          <w:b w:val="0"/>
          <w:color w:val="263442"/>
          <w:sz w:val="19"/>
        </w:rPr>
        <w:t>Pindahkan grid line, rujukan unit slab dan garisan bearing yang diluluskan kepada beam atau dinding sokongan. Periksa lebar sokongan, aras atas, keadaan permukaan dan panjang bearing yang diperlukan berdasarkan lukisan erection yang diluluskan. Buang laitance, serpihan dan bahagian tinggi setempat, siapkan kerja pembaikan yang diluluskan serta pasang bearing pad atau bahan levelling yang ditetapkan sebelum unit slab diangkat ke kedudukan.</w:t>
      </w:r>
    </w:p>
    <w:p>
      <w:pPr>
        <w:pStyle w:val="ListNumber"/>
        <w:keepLines/>
        <w:tabs>
          <w:tab w:pos="567" w:val="left"/>
        </w:tabs>
        <w:spacing w:after="100" w:line="269" w:lineRule="auto"/>
        <w:ind w:left="567" w:hanging="397"/>
      </w:pPr>
      <w:r>
        <w:rPr>
          <w:rFonts w:ascii="Aptos" w:hAnsi="Aptos"/>
          <w:b/>
          <w:color w:val="071E33"/>
          <w:sz w:val="19"/>
        </w:rPr>
        <w:t xml:space="preserve">Penghantaran, pemunggahan dan pengenalan unit. </w:t>
      </w:r>
      <w:r>
        <w:rPr>
          <w:rFonts w:ascii="Aptos" w:hAnsi="Aptos"/>
          <w:b w:val="0"/>
          <w:color w:val="263442"/>
          <w:sz w:val="19"/>
        </w:rPr>
        <w:t>Terima unit hollow core mengikut urutan erection yang dirancang. Padankan tanda unit, panjang, kedalaman, orientasi dan susunan bukaan dengan jadual penghantaran dan lukisan erection. Periksa unit bagi keretakan, spalling, hujung rosak, strand terdedah, lifting point berubah bentuk atau kerosakan semasa pengangkutan. Letakkan unit yang diterima di atas dunnage yang kukuh dan rata pada titik sokongan yang ditetapkan oleh pengilang; asingkan unit yang ditolak atau diragui.</w:t>
      </w:r>
    </w:p>
    <w:p>
      <w:pPr>
        <w:pStyle w:val="ListNumber"/>
        <w:keepLines/>
        <w:tabs>
          <w:tab w:pos="567" w:val="left"/>
        </w:tabs>
        <w:spacing w:after="100" w:line="269" w:lineRule="auto"/>
        <w:ind w:left="567" w:hanging="397"/>
      </w:pPr>
      <w:r>
        <w:rPr>
          <w:rFonts w:ascii="Aptos" w:hAnsi="Aptos"/>
          <w:b/>
          <w:color w:val="071E33"/>
          <w:sz w:val="19"/>
        </w:rPr>
        <w:t xml:space="preserve">Kedudukan kren dan susunan lifting. </w:t>
      </w:r>
      <w:r>
        <w:rPr>
          <w:rFonts w:ascii="Aptos" w:hAnsi="Aptos"/>
          <w:b w:val="0"/>
          <w:color w:val="263442"/>
          <w:sz w:val="19"/>
        </w:rPr>
        <w:t>Tempatkan kren di kawasan crane standing yang diluluskan dan sahkan lifting radius, konfigurasi boom serta kapasiti tersedia mematuhi lifting plan. Wujudkan zon larangan bagi lifting dan landing. Sambungkan lifting beam, clamp, sling atau hook bersijil hanya pada lokasi lifting yang diluluskan oleh pengilang. Gunakan tag line yang sesuai untuk mengawal putaran tanpa menempatkan personel di bawah beban tergantung.</w:t>
      </w:r>
    </w:p>
    <w:p>
      <w:pPr>
        <w:pStyle w:val="ListNumber"/>
        <w:keepLines/>
        <w:tabs>
          <w:tab w:pos="567" w:val="left"/>
        </w:tabs>
        <w:spacing w:after="100" w:line="269" w:lineRule="auto"/>
        <w:ind w:left="567" w:hanging="397"/>
      </w:pPr>
      <w:r>
        <w:rPr>
          <w:rFonts w:ascii="Aptos" w:hAnsi="Aptos"/>
          <w:b/>
          <w:color w:val="071E33"/>
          <w:sz w:val="19"/>
        </w:rPr>
        <w:t xml:space="preserve">Trial lift. </w:t>
      </w:r>
      <w:r>
        <w:rPr>
          <w:rFonts w:ascii="Aptos" w:hAnsi="Aptos"/>
          <w:b w:val="0"/>
          <w:color w:val="263442"/>
          <w:sz w:val="19"/>
        </w:rPr>
        <w:t>Angkat unit sedikit daripada treler atau dunnage dan tahan untuk trial lift. Periksa beban seimbang, semua lifting accessories berada pada kedudukan betul, unit kekal stabil serta tiada keretakan atau pergerakan luar biasa. Turunkan unit dan laraskan rigging jika unit tidak rata atau tidak stabil; jangan teruskan lifting utama sehingga Lifting Supervisor berpuas hati.</w:t>
      </w:r>
    </w:p>
    <w:p>
      <w:pPr>
        <w:pStyle w:val="ListNumber"/>
        <w:keepLines/>
        <w:tabs>
          <w:tab w:pos="567" w:val="left"/>
        </w:tabs>
        <w:spacing w:after="100" w:line="269" w:lineRule="auto"/>
        <w:ind w:left="567" w:hanging="397"/>
      </w:pPr>
      <w:r>
        <w:rPr>
          <w:rFonts w:ascii="Aptos" w:hAnsi="Aptos"/>
          <w:b/>
          <w:color w:val="071E33"/>
          <w:sz w:val="19"/>
        </w:rPr>
        <w:t xml:space="preserve">Hoisting dan slewing ke erection bay. </w:t>
      </w:r>
      <w:r>
        <w:rPr>
          <w:rFonts w:ascii="Aptos" w:hAnsi="Aptos"/>
          <w:b w:val="0"/>
          <w:color w:val="263442"/>
          <w:sz w:val="19"/>
        </w:rPr>
        <w:t>Angkat unit melalui laluan yang ditetapkan dalam lifting plan dan kekalkan komunikasi jelas antara Crane Operator, Lifting Supervisor, Rigger dan landing team. Lakukan slewing secara perlahan apabila menghampiri struktur serta elakkan shock loading, hentaman pada column atau reinforcement dan penyeretan unit di atas kerja siap. Hentikan lifting jika keadaan angin, penglihatan, komunikasi atau akses menjadi tidak selamat.</w:t>
      </w:r>
    </w:p>
    <w:p>
      <w:pPr>
        <w:pStyle w:val="ListNumber"/>
        <w:keepLines/>
        <w:tabs>
          <w:tab w:pos="567" w:val="left"/>
        </w:tabs>
        <w:spacing w:after="100" w:line="269" w:lineRule="auto"/>
        <w:ind w:left="567" w:hanging="397"/>
      </w:pPr>
      <w:r>
        <w:rPr>
          <w:rFonts w:ascii="Aptos" w:hAnsi="Aptos"/>
          <w:b/>
          <w:color w:val="071E33"/>
          <w:sz w:val="19"/>
        </w:rPr>
        <w:t xml:space="preserve">Landing di atas sokongan. </w:t>
      </w:r>
      <w:r>
        <w:rPr>
          <w:rFonts w:ascii="Aptos" w:hAnsi="Aptos"/>
          <w:b w:val="0"/>
          <w:color w:val="263442"/>
          <w:sz w:val="19"/>
        </w:rPr>
        <w:t>Turunkan unit di bawah arahan Signaller yang ditetapkan. Landing personnel hendaklah memandu unit dari kedudukan terlindung menggunakan tag line atau alat yang diluluskan serta menjauhkan tangan daripada pinch point. Letakkan kedua-dua hujung unit pada garisan bearing yang betul dengan panjang bearing minimum dan joint gap yang ditetapkan. Jangan lepaskan lifting accessories sehingga unit disokong sepenuhnya dan stabil.</w:t>
      </w:r>
    </w:p>
    <w:p>
      <w:pPr>
        <w:pStyle w:val="ListNumber"/>
        <w:keepLines/>
        <w:tabs>
          <w:tab w:pos="567" w:val="left"/>
        </w:tabs>
        <w:spacing w:after="100" w:line="269" w:lineRule="auto"/>
        <w:ind w:left="567" w:hanging="397"/>
      </w:pPr>
      <w:r>
        <w:rPr>
          <w:rFonts w:ascii="Aptos" w:hAnsi="Aptos"/>
          <w:b/>
          <w:color w:val="071E33"/>
          <w:sz w:val="19"/>
        </w:rPr>
        <w:t xml:space="preserve">Pelarasan jajaran dan aras. </w:t>
      </w:r>
      <w:r>
        <w:rPr>
          <w:rFonts w:ascii="Aptos" w:hAnsi="Aptos"/>
          <w:b w:val="0"/>
          <w:color w:val="263442"/>
          <w:sz w:val="19"/>
        </w:rPr>
        <w:t>Periksa tanda unit, orientasi, end bearing, lebar joint, jajaran soffit dan aras atas sebaik sahaja unit diletakkan. Buat pelarasan menggunakan kaedah diluluskan sementara kren masih bersambung jika diperlukan. Jangan mengetuk, mengumpil pada hujung yang mudah rosak, memotong prestressing strand atau meletakkan bahan packing longgar yang tidak diluluskan pada bearing. Dapatkan arahan teknikal bagi unit yang tidak dapat dipasang dalam toleransi ditetapkan.</w:t>
      </w:r>
    </w:p>
    <w:p>
      <w:pPr>
        <w:pStyle w:val="ListNumber"/>
        <w:keepLines/>
        <w:tabs>
          <w:tab w:pos="567" w:val="left"/>
        </w:tabs>
        <w:spacing w:after="100" w:line="269" w:lineRule="auto"/>
        <w:ind w:left="567" w:hanging="397"/>
      </w:pPr>
      <w:r>
        <w:rPr>
          <w:rFonts w:ascii="Aptos" w:hAnsi="Aptos"/>
          <w:b/>
          <w:color w:val="071E33"/>
          <w:sz w:val="19"/>
        </w:rPr>
        <w:t xml:space="preserve">Kestabilan sementara dan edge protection secara berperingkat. </w:t>
      </w:r>
      <w:r>
        <w:rPr>
          <w:rFonts w:ascii="Aptos" w:hAnsi="Aptos"/>
          <w:b w:val="0"/>
          <w:color w:val="263442"/>
          <w:sz w:val="19"/>
        </w:rPr>
        <w:t>Pasang temporary restraint, bracing, tie atau propping yang ditetapkan mengikut urutan dalam lukisan erection atau temporary works. Sediakan edge protection serta tutup atau pagar bukaan sebaik sahaja setiap unit dipasang; jangan biarkan leading edge tanpa perlindungan untuk kerja kemudian. Lepaskan kren hanya selepas semua langkah kestabilan sementara bagi unit berkenaan siap.</w:t>
      </w:r>
    </w:p>
    <w:p>
      <w:pPr>
        <w:pStyle w:val="ListNumber"/>
        <w:keepLines/>
        <w:tabs>
          <w:tab w:pos="567" w:val="left"/>
        </w:tabs>
        <w:spacing w:after="100" w:line="269" w:lineRule="auto"/>
        <w:ind w:left="567" w:hanging="397"/>
      </w:pPr>
      <w:r>
        <w:rPr>
          <w:rFonts w:ascii="Aptos" w:hAnsi="Aptos"/>
          <w:b/>
          <w:color w:val="071E33"/>
          <w:sz w:val="19"/>
        </w:rPr>
        <w:t xml:space="preserve">Penerusan erection. </w:t>
      </w:r>
      <w:r>
        <w:rPr>
          <w:rFonts w:ascii="Aptos" w:hAnsi="Aptos"/>
          <w:b w:val="0"/>
          <w:color w:val="263442"/>
          <w:sz w:val="19"/>
        </w:rPr>
        <w:t>Pasang baki unit mengikut urutan bay yang diluluskan, bekerja dari kawasan siap yang stabil dan mengekalkan akses kren yang dirancang. Periksa joint spacing dan jajaran terkumpul dengan kerap supaya perbezaan dimensi dibetulkan sebelum closing unit dipasang. Jangan menimbun bahan, mengendalikan access plant atau mengenakan construction load ke atas unit melainkan beban sementara telah diperiksa dan dibenarkan.</w:t>
      </w:r>
    </w:p>
    <w:p>
      <w:pPr>
        <w:pStyle w:val="ListNumber"/>
        <w:keepLines/>
        <w:tabs>
          <w:tab w:pos="567" w:val="left"/>
        </w:tabs>
        <w:spacing w:after="100" w:line="269" w:lineRule="auto"/>
        <w:ind w:left="567" w:hanging="397"/>
      </w:pPr>
      <w:r>
        <w:rPr>
          <w:rFonts w:ascii="Aptos" w:hAnsi="Aptos"/>
          <w:b/>
          <w:color w:val="071E33"/>
          <w:sz w:val="19"/>
        </w:rPr>
        <w:t xml:space="preserve">Keyway, reinforcement dan end closure. </w:t>
      </w:r>
      <w:r>
        <w:rPr>
          <w:rFonts w:ascii="Aptos" w:hAnsi="Aptos"/>
          <w:b w:val="0"/>
          <w:color w:val="263442"/>
          <w:sz w:val="19"/>
        </w:rPr>
        <w:t>Bersihkan longitudinal joint dan zon hujung bearing. Pasang tie bar, continuity reinforcement, mesh, insert, sleeve, komponen fire-stopping dan end closure yang ditetapkan dalam perincian diluluskan. Selaraskan bukaan dan service penetration sebelum grouting. Pemotongan, core drilling atau chasing pada unit hollow core di tapak adalah dilarang melainkan reka bentuk pakar dan kelulusan bertulis menetapkan lokasi serta kaedah yang dibenarkan.</w:t>
      </w:r>
    </w:p>
    <w:p>
      <w:pPr>
        <w:pStyle w:val="ListNumber"/>
        <w:keepLines/>
        <w:tabs>
          <w:tab w:pos="567" w:val="left"/>
        </w:tabs>
        <w:spacing w:after="100" w:line="269" w:lineRule="auto"/>
        <w:ind w:left="567" w:hanging="397"/>
      </w:pPr>
      <w:r>
        <w:rPr>
          <w:rFonts w:ascii="Aptos" w:hAnsi="Aptos"/>
          <w:b/>
          <w:color w:val="071E33"/>
          <w:sz w:val="19"/>
        </w:rPr>
        <w:t xml:space="preserve">Joint grouting dan structural topping. </w:t>
      </w:r>
      <w:r>
        <w:rPr>
          <w:rFonts w:ascii="Aptos" w:hAnsi="Aptos"/>
          <w:b w:val="0"/>
          <w:color w:val="263442"/>
          <w:sz w:val="19"/>
        </w:rPr>
        <w:t>Lembapkan awal atau sediakan permukaan joint seperti yang ditetapkan oleh sistem grout diluluskan tanpa meninggalkan air bertakung. Tuang grout diluluskan secara berterusan ke dalam keyway dan end pocket, padatkan untuk menghapuskan void serta kemaskan ke aras diperlukan. Jika structural topping ditetapkan, siapkan reinforcement, kawalan aras dan pemeriksaan sebelum tuangan sebelum meletakkan konkrit mengikut urutan yang mengelakkan beban setempat berlebihan. Jalankan curing dan lindungi grout atau topping bagi tempoh ditetapkan.</w:t>
      </w:r>
    </w:p>
    <w:p>
      <w:pPr>
        <w:pStyle w:val="ListNumber"/>
        <w:keepLines/>
        <w:tabs>
          <w:tab w:pos="567" w:val="left"/>
        </w:tabs>
        <w:spacing w:after="100" w:line="269" w:lineRule="auto"/>
        <w:ind w:left="567" w:hanging="397"/>
      </w:pPr>
      <w:r>
        <w:rPr>
          <w:rFonts w:ascii="Aptos" w:hAnsi="Aptos"/>
          <w:b/>
          <w:color w:val="071E33"/>
          <w:sz w:val="19"/>
        </w:rPr>
        <w:t xml:space="preserve">Penanggalan temporary prop dan pelepasan lantai. </w:t>
      </w:r>
      <w:r>
        <w:rPr>
          <w:rFonts w:ascii="Aptos" w:hAnsi="Aptos"/>
          <w:b w:val="0"/>
          <w:color w:val="263442"/>
          <w:sz w:val="19"/>
        </w:rPr>
        <w:t>Tanggalkan temporary prop, restraint atau back-propping hanya selepas kekuatan grout atau topping yang ditetapkan dibuktikan dan pelepasan bertulis diperoleh daripada pihak temporary works atau design authority yang bertanggungjawab. Ikut urutan depropping diluluskan bagi mengelakkan pemindahan beban secara mengejut. Lengkapkan ukur akhir, tutup kecacatan dan lepaskan lantai secara rasmi sebelum beban susulan atau akses trade dibenarkan.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kawalan ini terpakai kepada keseluruhan urutan. Sahkan pengenalan dan keadaan unit, kesiapan sokongan, panjang bearing, lebar joint, jajaran soffit, aras atas, kestabilan sementara, reinforcement, mutu grout atau topping serta kekuatan diperlukan sebelum depropping. Rekod pelepasan hold point dan witness point berdasarkan Pelan Pemeriksaan dan Pengujian yang diluluskan.</w:t>
      </w:r>
    </w:p>
    <w:p>
      <w:pPr>
        <w:pStyle w:val="ListBullet"/>
        <w:spacing w:after="50"/>
        <w:ind w:left="369" w:hanging="170"/>
      </w:pPr>
      <w:r>
        <w:rPr>
          <w:rFonts w:ascii="Aptos" w:hAnsi="Aptos"/>
          <w:b w:val="0"/>
          <w:color w:val="263442"/>
          <w:sz w:val="19"/>
        </w:rPr>
        <w:t>Kawalan keselamatan dan interface: kekalkan lifting plan diluluskan, keadaan crane standing, had cuaca, zon larangan, perlindungan jatuh, perlindungan bukaan dan temporary works sepanjang erection. Selaraskan penghantaran, pergerakan kren, landing area, sokongan struktur, bukaan M&amp;E, fire-stopping, interface façade dan akses bagi trade seterusnya. Hentikan kerja apabila keadaan berbeza daripada susunan diluluskan.</w:t>
      </w:r>
    </w:p>
    <w:p>
      <w:pPr>
        <w:pStyle w:val="ListBullet"/>
        <w:spacing w:after="50"/>
        <w:ind w:left="369" w:hanging="170"/>
      </w:pPr>
      <w:r>
        <w:rPr>
          <w:rFonts w:ascii="Aptos" w:hAnsi="Aptos"/>
          <w:b w:val="0"/>
          <w:color w:val="263442"/>
          <w:sz w:val="19"/>
        </w:rPr>
        <w:t>Rekod: simpan lukisan erection dan jadual unit, rekod penghantaran dan pemeriksaan kerosakan, sijil lifting gear, senarai semak kren dan lifting, keputusan ukur, permohonan pemeriksaan, pelepasan temporary works, keputusan ujian grout atau konkrit, gambar, penutupan ketidakpatuhan dan rekod penyerahan akhir.</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erection bay disiapkan, periksa keadaan unit, bearing, jajaran, kestabilan sementara, edge protection, joint, reinforcement, closure, grout atau topping serta curing. Tanda dan baiki kecacatan menggunakan prosedur pembaikan diluluskan. Lindungi lantai siap daripada hentaman, pencemaran, cuaca dan construction loading yang tidak diluluskan sehingga pelepasan rasmi diberikan.</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Kumpulkan rekod penghantaran, erection, pemeriksaan, ukur, temporary works, ujian grout atau konkrit, ketidakpatuhan dan as-built yang disenaraikan dalam nota Urutan Aktiviti. Serahkan bay siap hanya selepas kekuatan diperlukan, hold point, ulasan Perunding, edge protection dan had beban telah disahkan serta dimaklumkan kepada trade penerima.</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Sokongan dan bearing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Keadaan unit</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Panjang bearing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Kestabilan sementara</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Keyway dan grout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Topping dan penanggalan prop</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Jatuh dari tempat tinggi atau pinggir terbuka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Beban tergantung</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Keretakan unit</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Pinch point</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Ketidakstabilan sementara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MS-IBS-002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Pemasangan Hollow Core Slab</dc:title>
  <dc:subject>Template penyata kaedah pembinaan yang boleh diedit</dc:subject>
  <dc:creator>Method Statement Hub Malaysia</dc:creator>
  <cp:keywords>hollow core, precast slab, IBS</cp:keywords>
  <dc:description>generated by python-docx</dc:description>
  <cp:lastModifiedBy/>
  <cp:revision>1</cp:revision>
  <dcterms:created xsi:type="dcterms:W3CDTF">2013-12-23T23:15:00Z</dcterms:created>
  <dcterms:modified xsi:type="dcterms:W3CDTF">2013-12-23T23:15:00Z</dcterms:modified>
  <cp:category/>
</cp:coreProperties>
</file>